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240" w:lineRule="auto"/>
        <w:jc w:val="center"/>
        <w:textAlignment w:val="baseline"/>
        <w:rPr>
          <w:rFonts w:hint="default" w:ascii="宋体" w:hAnsi="宋体" w:eastAsia="宋体" w:cs="宋体"/>
          <w:b/>
          <w:spacing w:val="10"/>
          <w:position w:val="2"/>
          <w:sz w:val="32"/>
          <w:szCs w:val="20"/>
          <w:lang w:val="en-US" w:eastAsia="zh-CN"/>
        </w:rPr>
      </w:pPr>
      <w:r>
        <w:rPr>
          <w:rFonts w:hint="eastAsia" w:ascii="宋体" w:hAnsi="宋体" w:eastAsia="宋体" w:cs="宋体"/>
          <w:b/>
          <w:spacing w:val="10"/>
          <w:position w:val="2"/>
          <w:sz w:val="32"/>
          <w:szCs w:val="20"/>
          <w:lang w:val="en-US" w:eastAsia="zh-CN"/>
        </w:rPr>
        <w:t>拟成交单位信息</w:t>
      </w:r>
    </w:p>
    <w:p>
      <w:pPr>
        <w:widowControl w:val="0"/>
        <w:jc w:val="both"/>
        <w:rPr>
          <w:rFonts w:ascii="宋体" w:hAnsi="宋体" w:eastAsia="宋体" w:cs="宋体"/>
          <w:b/>
          <w:sz w:val="32"/>
          <w:szCs w:val="20"/>
        </w:rPr>
      </w:pPr>
    </w:p>
    <w:tbl>
      <w:tblPr>
        <w:tblStyle w:val="5"/>
        <w:tblW w:w="8777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2682"/>
        <w:gridCol w:w="2903"/>
        <w:gridCol w:w="1404"/>
        <w:gridCol w:w="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952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lang w:val="en-US" w:eastAsia="zh-CN"/>
              </w:rPr>
              <w:t>包号</w:t>
            </w:r>
            <w:r>
              <w:rPr>
                <w:rFonts w:ascii="宋体" w:hAnsi="宋体" w:eastAsia="宋体" w:cs="宋体"/>
                <w:b w:val="0"/>
                <w:bCs/>
                <w:sz w:val="28"/>
                <w:szCs w:val="18"/>
              </w:rPr>
              <w:br w:type="page"/>
            </w:r>
          </w:p>
        </w:tc>
        <w:tc>
          <w:tcPr>
            <w:tcW w:w="268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拟成交单位名称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地址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预算金额</w:t>
            </w:r>
          </w:p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95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68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北京万方数据股份有限公司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  <w:t>北京市海淀区复兴路15号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95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68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重庆昆廷科技有限公司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  <w:t>重庆市南岸区亚太路9号6幢11-12、11-13号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10.5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right"/>
        </w:trPr>
        <w:tc>
          <w:tcPr>
            <w:tcW w:w="95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68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河南康森电子科技有限公司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  <w:t>郑州市金水区北三环73号瀚海北金B座18层18014号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95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68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河南超星数图信息技术有限公司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  <w:t>河南自贸试验区郑州片区（郑东）金水东路85号雅宝东方国际广场1号楼9楼903号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95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68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highlight w:val="none"/>
                <w:vertAlign w:val="baseline"/>
                <w:lang w:val="en-US" w:eastAsia="zh-CN"/>
              </w:rPr>
              <w:t>河南华宽能航信息科技有限公司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highlight w:val="none"/>
                <w:vertAlign w:val="baseline"/>
              </w:rPr>
              <w:t>河南省郑州市高新技术产业开发区科学大道89号4号楼A单元10层85室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highlight w:val="none"/>
                <w:vertAlign w:val="baseline"/>
              </w:rPr>
            </w:pPr>
          </w:p>
        </w:tc>
      </w:tr>
    </w:tbl>
    <w:p>
      <w:pPr>
        <w:rPr>
          <w:rFonts w:ascii="宋体" w:hAnsi="宋体" w:eastAsia="宋体" w:cs="宋体"/>
          <w:b/>
          <w:sz w:val="32"/>
          <w:szCs w:val="20"/>
          <w:highlight w:val="none"/>
        </w:rPr>
      </w:pPr>
    </w:p>
    <w:p>
      <w:pPr>
        <w:rPr>
          <w:rFonts w:hint="default" w:ascii="宋体" w:hAnsi="宋体" w:eastAsia="宋体" w:cs="宋体"/>
          <w:b/>
          <w:sz w:val="32"/>
          <w:szCs w:val="20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20"/>
          <w:highlight w:val="none"/>
          <w:lang w:val="en-US" w:eastAsia="zh-CN"/>
        </w:rPr>
        <w:t>注：后附技术参数</w:t>
      </w:r>
    </w:p>
    <w:p>
      <w:pPr>
        <w:kinsoku/>
        <w:overflowPunct w:val="0"/>
        <w:autoSpaceDE/>
        <w:autoSpaceDN/>
        <w:jc w:val="center"/>
        <w:rPr>
          <w:rFonts w:asciiTheme="majorEastAsia" w:hAnsiTheme="majorEastAsia" w:eastAsiaTheme="majorEastAsia"/>
          <w:b/>
          <w:sz w:val="36"/>
          <w:szCs w:val="44"/>
        </w:rPr>
      </w:pPr>
      <w:r>
        <w:rPr>
          <w:rFonts w:ascii="宋体" w:hAnsi="宋体" w:eastAsia="宋体" w:cs="宋体"/>
          <w:b/>
          <w:sz w:val="32"/>
          <w:szCs w:val="20"/>
        </w:rPr>
        <w:br w:type="page"/>
      </w:r>
      <w:r>
        <w:rPr>
          <w:rFonts w:hint="eastAsia" w:ascii="宋体" w:hAnsi="宋体" w:eastAsia="宋体" w:cs="宋体"/>
          <w:b/>
          <w:sz w:val="32"/>
          <w:szCs w:val="20"/>
          <w:lang w:val="en-US" w:eastAsia="zh-CN"/>
        </w:rPr>
        <w:t>包1--万方数据平台</w:t>
      </w:r>
      <w:r>
        <w:rPr>
          <w:rFonts w:hint="eastAsia" w:asciiTheme="majorEastAsia" w:hAnsiTheme="majorEastAsia" w:eastAsiaTheme="majorEastAsia"/>
          <w:b/>
          <w:sz w:val="36"/>
          <w:szCs w:val="44"/>
        </w:rPr>
        <w:t>技术参数</w:t>
      </w:r>
    </w:p>
    <w:p>
      <w:pPr>
        <w:kinsoku/>
        <w:overflowPunct w:val="0"/>
        <w:autoSpaceDN/>
        <w:spacing w:line="360" w:lineRule="auto"/>
        <w:jc w:val="both"/>
        <w:rPr>
          <w:rFonts w:ascii="Calibri" w:hAnsi="Calibri" w:eastAsia="宋体" w:cs="Times New Roman"/>
        </w:rPr>
      </w:pPr>
    </w:p>
    <w:p>
      <w:pPr>
        <w:kinsoku/>
        <w:overflowPunct w:val="0"/>
        <w:autoSpaceDN/>
        <w:spacing w:line="360" w:lineRule="auto"/>
        <w:jc w:val="both"/>
        <w:outlineLvl w:val="0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一、采购资源范围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万方学术期刊数据库：专业涵盖自然科学、工程技术、医药卫生、农业科学、哲学政法、社会科学、科教文艺等各个学科。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万方学位论文数据库：涵盖基础科学、理学、工业技术、人文科学、社会科学、医药卫生、农业科学、交通运输、航空航天和环境科学等各学科领域。</w:t>
      </w:r>
    </w:p>
    <w:p>
      <w:pPr>
        <w:kinsoku/>
        <w:overflowPunct w:val="0"/>
        <w:autoSpaceDN/>
        <w:spacing w:line="360" w:lineRule="auto"/>
        <w:jc w:val="both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二、数据量以及更新要求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（一）数据库应包含：期刊、学位论文。期刊数据库不少于6800万篇，期刊覆盖不少于</w:t>
      </w:r>
      <w:r>
        <w:rPr>
          <w:rFonts w:ascii="宋体" w:hAnsi="宋体" w:eastAsia="宋体" w:cs="宋体"/>
        </w:rPr>
        <w:t>8300</w:t>
      </w:r>
      <w:r>
        <w:rPr>
          <w:rFonts w:hint="eastAsia" w:ascii="宋体" w:hAnsi="宋体" w:eastAsia="宋体" w:cs="宋体"/>
        </w:rPr>
        <w:t>种，包含北京大学、中国科学技术信息研究所、中国科学院文献情报中心、南京大学、中国社会科学院历年收录的核心期刊3200余种；年增300万篇及以上。学位论文不少于500万篇，年增至少20万篇。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（二）期刊数据库周更新至少2次。学位论文数据库月更新不少于1次。</w:t>
      </w:r>
    </w:p>
    <w:p>
      <w:pPr>
        <w:kinsoku/>
        <w:overflowPunct w:val="0"/>
        <w:autoSpaceDN/>
        <w:spacing w:line="360" w:lineRule="auto"/>
        <w:jc w:val="both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三、功能要求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一）检索方式：支持异构海量资源检索（期刊论文、学位论文、会议论文、专利、标准、法律法规、科技报告、地方志、成果等）统一平台的跨库检索；支持一框式检索、高级检索、专业检索，支持逻辑与或非的布尔逻辑表达式。</w:t>
      </w:r>
    </w:p>
    <w:p>
      <w:pPr>
        <w:kinsoku/>
        <w:overflowPunct w:val="0"/>
        <w:autoSpaceDN/>
        <w:spacing w:line="360" w:lineRule="auto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支持对学者、刊物等的智能检索；支持中外文混合检索；支持词表智能扩展关联检索，包括同义词、上位术语、下位术语、相关概念的检索。</w:t>
      </w:r>
    </w:p>
    <w:p>
      <w:pPr>
        <w:kinsoku/>
        <w:overflowPunct w:val="0"/>
        <w:autoSpaceDN/>
        <w:spacing w:line="360" w:lineRule="auto"/>
        <w:ind w:firstLine="413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</w:rPr>
        <w:t>（</w:t>
      </w:r>
      <w:r>
        <w:rPr>
          <w:rFonts w:hint="eastAsia" w:ascii="宋体" w:hAnsi="宋体" w:eastAsia="宋体" w:cs="宋体"/>
        </w:rPr>
        <w:t>二）提供高性能、高可用、高可靠的检索服务，并通过提供rpc和http api服务接口，灵活应对不同的业务使用场景。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（三）支持集群式关系型数据库，保证业务数据7*24小时高可用性。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（四）通过图形数据库支持文献引证关系、实体关联关系等的可视化展示。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（五）采用分布式文件存储系统，支持海量（百亿条以上）系统及用户行为日志存储，支持亿万篇文献全文存储。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（六）支持基于分布式计算框架下的文献计量统计分析，提供海量数据下的实时或离线的统计分析。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（七）融合大数据生态，提供可视化定制界面完成数据创建导入工作和ETL工具，支撑亿万级数据记录吞吐。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（八）结合OAuth2.0协议可实现用户身份授权。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（九）自主研发的api开放网关技术提供统一的开放接口方案 ，便于与第三方系统对接并提供数据服务、应用服务。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（十）支持NativeAPP、WebAPP、HybridApp三种APP开发模式，灵活应对各类移动端开发需求。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（十一）采用分布式服务框架，提供高性能、可扩展的SOA应用服务。</w:t>
      </w:r>
    </w:p>
    <w:p>
      <w:pPr>
        <w:kinsoku/>
        <w:overflowPunct w:val="0"/>
        <w:autoSpaceDN/>
        <w:spacing w:line="360" w:lineRule="auto"/>
        <w:ind w:firstLine="411" w:firstLineChars="196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十二）采用分布式全文索引集群，支持集中配置、负载均衡、自动容错、资源实时扩展、实时更新索引，支持对亿条以上元数据毫秒级检索；另外，支持按需分配资源并提供服务隔离，自动实施负载平衡调度防止性能雪崩。</w:t>
      </w:r>
    </w:p>
    <w:p>
      <w:pPr>
        <w:pStyle w:val="7"/>
        <w:overflowPunct w:val="0"/>
        <w:autoSpaceDN/>
        <w:spacing w:line="360" w:lineRule="auto"/>
        <w:ind w:firstLine="0"/>
        <w:outlineLvl w:val="0"/>
        <w:rPr>
          <w:rFonts w:ascii="宋体" w:hAnsi="宋体" w:eastAsia="宋体" w:cs="宋体"/>
          <w:b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</w:rPr>
        <w:t>四、服务方式</w:t>
      </w:r>
    </w:p>
    <w:p>
      <w:pPr>
        <w:pStyle w:val="7"/>
        <w:overflowPunct w:val="0"/>
        <w:autoSpaceDN/>
        <w:spacing w:line="360" w:lineRule="auto"/>
        <w:ind w:firstLine="420" w:firstLineChars="200"/>
        <w:rPr>
          <w:rFonts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（一）数据库提供远程包库访问。</w:t>
      </w:r>
    </w:p>
    <w:p>
      <w:pPr>
        <w:pStyle w:val="7"/>
        <w:overflowPunct w:val="0"/>
        <w:autoSpaceDN/>
        <w:spacing w:line="360" w:lineRule="auto"/>
        <w:ind w:firstLine="420" w:firstLineChars="200"/>
        <w:rPr>
          <w:rFonts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（二）总库并发数：不限制并发数。</w:t>
      </w:r>
    </w:p>
    <w:p>
      <w:pPr>
        <w:kinsoku/>
        <w:overflowPunct w:val="0"/>
        <w:autoSpaceDN/>
        <w:spacing w:line="360" w:lineRule="auto"/>
        <w:jc w:val="both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五、专利权要求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要求供应商必须保障采购方使用其产品、服务及其任何部分不受到第三方关于侵犯专利权、商标权或工业设计权等知识产权的指控。任何第三方如果提出指控，供应商必须与第三方交涉并承担由此引发的一切法律责任和费用。</w:t>
      </w:r>
    </w:p>
    <w:p>
      <w:pPr>
        <w:kinsoku/>
        <w:overflowPunct w:val="0"/>
        <w:autoSpaceDN/>
        <w:spacing w:line="360" w:lineRule="auto"/>
        <w:jc w:val="both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六、售后服务要求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（一）供应商应保障采购方所购数据库产品在使用期内的完整性。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（二）供应商须定时向采购方通报数据库产品开发进展情况、宣传计划和资料。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（三）供应商应根据采购方要求，每半年免费提供1次以上的数据库使用和技术培训。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（四）供应商应根据采购方要求，及时准确地提供所购数字资源利用情况统计表。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（五）在质保期内，如果产品技术升级，供应商及时通知用户，如用户有相应要求，供应商则对产品进行升级服务。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（六）供应商对所提供的镜像数据，提供不少于3年的质保期限（免费维修时间，下同）；对提供的在线服务，提供不少于合同条款规定的1年的质保期限。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（七）供应商应对采购方提供技术支持和数据维护，对数据库采取必要的保护措施，并及时修改其可能存在的安全漏洞，保证用户正常使用。供应商负责数据库数据的安装、调试。当数据发生丢失或损坏时, 供应商应及时免费完成数据的恢复工作。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八）供应商负责向采购方提供网络、电话及EMAIL支持服务，以解决数据库使用过程中出现的问题。对一般的技术支持响应时间不超过6小时，若出现重大问题，供应商技术支持工程师必须在48小时内到达现场进行技术维护。</w:t>
      </w:r>
    </w:p>
    <w:p>
      <w:pPr>
        <w:kinsoku/>
        <w:overflowPunct w:val="0"/>
        <w:autoSpaceDN/>
        <w:spacing w:line="360" w:lineRule="auto"/>
        <w:jc w:val="both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七、其他要求</w:t>
      </w:r>
    </w:p>
    <w:p>
      <w:pPr>
        <w:kinsoku/>
        <w:overflowPunct w:val="0"/>
        <w:autoSpaceDN/>
        <w:spacing w:line="360" w:lineRule="auto"/>
        <w:ind w:firstLine="420" w:firstLineChars="20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供应商提供的所有数字资源应符合国家政策法规规定，不得具有意识形态安全问题；或一旦发现存在意识形态安全风险，供应商应在第一时间予以处理并告知采购方。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>
      <w:pPr>
        <w:kinsoku/>
        <w:overflowPunct w:val="0"/>
        <w:autoSpaceDE/>
        <w:autoSpaceDN/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包2--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KPS外文警察资源检索系统技术参数</w:t>
      </w:r>
    </w:p>
    <w:p>
      <w:pPr>
        <w:kinsoku/>
        <w:overflowPunct w:val="0"/>
        <w:autoSpaceDE/>
        <w:autoSpaceDN/>
        <w:spacing w:line="360" w:lineRule="auto"/>
        <w:rPr>
          <w:rFonts w:ascii="Calibri" w:hAnsi="Calibri" w:eastAsia="宋体" w:cs="Times New Roman"/>
        </w:rPr>
      </w:pPr>
    </w:p>
    <w:p>
      <w:pPr>
        <w:kinsoku/>
        <w:overflowPunct w:val="0"/>
        <w:autoSpaceDE/>
        <w:autoSpaceDN/>
        <w:spacing w:line="520" w:lineRule="exact"/>
        <w:jc w:val="both"/>
        <w:outlineLvl w:val="0"/>
        <w:rPr>
          <w:rFonts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一、采购资源范围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数据库应囊括公安学和公安技术两大一级学科，数据内容应涉及以下二级学科：消防工程、边防指挥专业、消防指挥专业、核生化消防专业、火灾勘察专业、涉外警务专业、边防管理、治安学、警卫学、公安情报学、犯罪学、公安管理学、国内安全保卫专业、警务指挥与战术、侦查学、禁毒学、警犬技术、经济犯罪侦查专业、刑事科学技术、安全防范工程、交通管理工程、公安视听技术、网络安全与执法专业、抢险救援指挥与技术。</w:t>
      </w:r>
    </w:p>
    <w:p>
      <w:pPr>
        <w:kinsoku/>
        <w:overflowPunct w:val="0"/>
        <w:autoSpaceDE/>
        <w:autoSpaceDN/>
        <w:spacing w:line="520" w:lineRule="exact"/>
        <w:jc w:val="both"/>
        <w:rPr>
          <w:rFonts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二、数据量以及更新要求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一）数据库应包含：外文期刊、外文图书、外文学位论文、外文会议论文、外文教学课程、外文专题资源、外文标准、外文报告等8个外文警察类资源模块。外文期刊不少于1250种，490万篇，能检索到期刊自创刊号（年）起以来所有该期刊的内容期刊种数不低于外文期刊总量的75%；外文图书不少于13万册，230万章节；外文学位论文不少于68万篇；外文会议不少于4700届次；会议论文不少于37万篇；外文教学课程不少于1900个；外文专题资源不少于</w:t>
      </w:r>
      <w:r>
        <w:rPr>
          <w:rFonts w:asciiTheme="minorEastAsia" w:hAnsiTheme="minorEastAsia" w:eastAsiaTheme="minorEastAsia" w:cstheme="minorEastAsia"/>
        </w:rPr>
        <w:t>18</w:t>
      </w:r>
      <w:r>
        <w:rPr>
          <w:rFonts w:hint="eastAsia" w:asciiTheme="minorEastAsia" w:hAnsiTheme="minorEastAsia" w:eastAsiaTheme="minorEastAsia" w:cstheme="minorEastAsia"/>
        </w:rPr>
        <w:t>万个；外文标准不少于3600篇；外文报告不少于8万篇。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（二）数据库每季度更新一次，每年更新不少于4次。</w:t>
      </w:r>
    </w:p>
    <w:p>
      <w:pPr>
        <w:kinsoku/>
        <w:overflowPunct w:val="0"/>
        <w:autoSpaceDE/>
        <w:autoSpaceDN/>
        <w:spacing w:line="520" w:lineRule="exact"/>
        <w:jc w:val="both"/>
        <w:rPr>
          <w:rFonts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三、功能要求</w:t>
      </w:r>
    </w:p>
    <w:p>
      <w:pPr>
        <w:kinsoku/>
        <w:overflowPunct w:val="0"/>
        <w:autoSpaceDE/>
        <w:autoSpaceDN/>
        <w:spacing w:line="520" w:lineRule="exact"/>
        <w:ind w:firstLine="411" w:firstLineChars="196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Cs/>
        </w:rPr>
        <w:t>（一）检索方式</w:t>
      </w:r>
      <w:r>
        <w:rPr>
          <w:rFonts w:hint="eastAsia" w:asciiTheme="minorEastAsia" w:hAnsiTheme="minorEastAsia" w:eastAsiaTheme="minorEastAsia" w:cstheme="minorEastAsia"/>
        </w:rPr>
        <w:t>：可以提供直接检索或者二次检索，检索入口包括：作者、刊名、关键词、提名、ISSN号、出版年、任意字段检索，同时提供中文提名、中文刊名、中文关键词的检索，并提供高级检索功能、快速检索和期刊导航检索。</w:t>
      </w:r>
    </w:p>
    <w:p>
      <w:pPr>
        <w:kinsoku/>
        <w:overflowPunct w:val="0"/>
        <w:autoSpaceDE/>
        <w:autoSpaceDN/>
        <w:spacing w:line="520" w:lineRule="exact"/>
        <w:ind w:firstLine="411" w:firstLineChars="196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Cs/>
        </w:rPr>
        <w:t>（二）导航方式</w:t>
      </w:r>
      <w:r>
        <w:rPr>
          <w:rFonts w:hint="eastAsia" w:asciiTheme="minorEastAsia" w:hAnsiTheme="minorEastAsia" w:eastAsiaTheme="minorEastAsia" w:cstheme="minorEastAsia"/>
        </w:rPr>
        <w:t>：对检索结果能实现教育部一级学科导航、中图法分类导航、年限分布导航和期刊重要性分类导航等。</w:t>
      </w:r>
    </w:p>
    <w:p>
      <w:pPr>
        <w:kinsoku/>
        <w:overflowPunct w:val="0"/>
        <w:autoSpaceDE/>
        <w:autoSpaceDN/>
        <w:spacing w:line="520" w:lineRule="exact"/>
        <w:ind w:firstLine="411" w:firstLineChars="196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Cs/>
        </w:rPr>
        <w:t>（三）浏览方式</w:t>
      </w:r>
      <w:r>
        <w:rPr>
          <w:rFonts w:hint="eastAsia" w:asciiTheme="minorEastAsia" w:hAnsiTheme="minorEastAsia" w:eastAsiaTheme="minorEastAsia" w:cstheme="minorEastAsia"/>
        </w:rPr>
        <w:t>：文献浏览有题名模式、详情模式等，同时能够实现对文摘信息的辅助翻译。</w:t>
      </w:r>
    </w:p>
    <w:p>
      <w:pPr>
        <w:kinsoku/>
        <w:overflowPunct w:val="0"/>
        <w:autoSpaceDE/>
        <w:autoSpaceDN/>
        <w:spacing w:line="520" w:lineRule="exact"/>
        <w:ind w:firstLine="411" w:firstLineChars="196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Cs/>
        </w:rPr>
        <w:t>（四）热词搜索</w:t>
      </w:r>
      <w:r>
        <w:rPr>
          <w:rFonts w:hint="eastAsia" w:asciiTheme="minorEastAsia" w:hAnsiTheme="minorEastAsia" w:eastAsiaTheme="minorEastAsia" w:cstheme="minorEastAsia"/>
        </w:rPr>
        <w:t>：实时热点检索、搜索词云等。</w:t>
      </w:r>
    </w:p>
    <w:p>
      <w:pPr>
        <w:kinsoku/>
        <w:overflowPunct w:val="0"/>
        <w:autoSpaceDE/>
        <w:autoSpaceDN/>
        <w:spacing w:line="520" w:lineRule="exact"/>
        <w:ind w:firstLine="411" w:firstLineChars="196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Cs/>
        </w:rPr>
        <w:t>（五）原文获取：</w:t>
      </w:r>
      <w:r>
        <w:rPr>
          <w:rFonts w:hint="eastAsia" w:asciiTheme="minorEastAsia" w:hAnsiTheme="minorEastAsia" w:eastAsiaTheme="minorEastAsia" w:cstheme="minorEastAsia"/>
        </w:rPr>
        <w:t>外文文献的题录和全文一一对应，题录和全文均可实现即时获取。</w:t>
      </w:r>
    </w:p>
    <w:p>
      <w:pPr>
        <w:kinsoku/>
        <w:overflowPunct w:val="0"/>
        <w:autoSpaceDE/>
        <w:autoSpaceDN/>
        <w:spacing w:line="520" w:lineRule="exact"/>
        <w:ind w:firstLine="411" w:firstLineChars="196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Cs/>
        </w:rPr>
        <w:t>（六）后台管理功能</w:t>
      </w:r>
      <w:r>
        <w:rPr>
          <w:rFonts w:hint="eastAsia" w:asciiTheme="minorEastAsia" w:hAnsiTheme="minorEastAsia" w:eastAsiaTheme="minorEastAsia" w:cstheme="minorEastAsia"/>
        </w:rPr>
        <w:t>:检索系统包括完善的后台管理功能，有统一认证管理工具和统计工具，统计工具能实现按刊、按时间、按IP地址或按账号进行访问情况统计，并可方便的导出统计结果。</w:t>
      </w:r>
    </w:p>
    <w:p>
      <w:pPr>
        <w:kinsoku/>
        <w:overflowPunct w:val="0"/>
        <w:autoSpaceDE/>
        <w:autoSpaceDN/>
        <w:spacing w:line="520" w:lineRule="exact"/>
        <w:ind w:firstLine="411" w:firstLineChars="196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Cs/>
        </w:rPr>
        <w:t>（七）可整合其他资源:</w:t>
      </w:r>
      <w:r>
        <w:rPr>
          <w:rFonts w:hint="eastAsia" w:asciiTheme="minorEastAsia" w:hAnsiTheme="minorEastAsia" w:eastAsiaTheme="minorEastAsia" w:cstheme="minorEastAsia"/>
        </w:rPr>
        <w:t>可提供开放接口，便于进行不同类型资源的整合。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Cs/>
        </w:rPr>
        <w:t>（八）更新方式及周期</w:t>
      </w:r>
      <w:r>
        <w:rPr>
          <w:rFonts w:hint="eastAsia" w:asciiTheme="minorEastAsia" w:hAnsiTheme="minorEastAsia" w:eastAsiaTheme="minorEastAsia" w:cstheme="minorEastAsia"/>
        </w:rPr>
        <w:t>：提供网络更新和光盘更新两种更新途径，更新频率不少于三个月一次。</w:t>
      </w:r>
    </w:p>
    <w:p>
      <w:pPr>
        <w:kinsoku/>
        <w:overflowPunct w:val="0"/>
        <w:autoSpaceDE/>
        <w:autoSpaceDN/>
        <w:spacing w:line="520" w:lineRule="exact"/>
        <w:ind w:firstLine="411" w:firstLineChars="196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Cs/>
        </w:rPr>
        <w:t>（九）个性化服务</w:t>
      </w:r>
      <w:r>
        <w:rPr>
          <w:rFonts w:hint="eastAsia" w:asciiTheme="minorEastAsia" w:hAnsiTheme="minorEastAsia" w:eastAsiaTheme="minorEastAsia" w:cstheme="minorEastAsia"/>
        </w:rPr>
        <w:t>：可根据要求及提供的图片对检索系统界面进行个性化制作。</w:t>
      </w:r>
    </w:p>
    <w:p>
      <w:pPr>
        <w:kinsoku/>
        <w:overflowPunct w:val="0"/>
        <w:autoSpaceDE/>
        <w:autoSpaceDN/>
        <w:spacing w:line="520" w:lineRule="exact"/>
        <w:ind w:firstLine="411" w:firstLineChars="196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（十）实现对用户的访问和使用情况进行详细的记录，并进行统计分析（可按时间、用户、IP地址等方式进行统计分析），并根据采购方要求及时反馈统计分析结果。</w:t>
      </w:r>
    </w:p>
    <w:p>
      <w:pPr>
        <w:kinsoku/>
        <w:overflowPunct w:val="0"/>
        <w:autoSpaceDE/>
        <w:autoSpaceDN/>
        <w:spacing w:line="520" w:lineRule="exact"/>
        <w:jc w:val="both"/>
        <w:rPr>
          <w:rFonts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四、服务方式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（一）数据库提供远程包库访问。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（二）图书馆往年已选购的200种外文期刊2023年更新数据的镜像服务。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（三）文献传递服务。根据图书馆要求建立QQ群或微信群，为读者提供文献传递服务。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（四）总库并发数：不限制并发数。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（五）漫游帐号：根据采购方要求，提供一个不限制并发数的校外访问账号，以满足采购方学院IP地址范围外教学、科研工作时的访问使用需求。</w:t>
      </w:r>
    </w:p>
    <w:p>
      <w:pPr>
        <w:kinsoku/>
        <w:overflowPunct w:val="0"/>
        <w:autoSpaceDE/>
        <w:autoSpaceDN/>
        <w:spacing w:line="520" w:lineRule="exact"/>
        <w:jc w:val="both"/>
        <w:rPr>
          <w:rFonts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五、专利权要求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一）供应商必须保障采购方使用其产品、服务及其任何部分不受到第三方关于侵犯专利权、商标权或工业设计权等知识产权的指控。任何第三方如果提出指控，供应商必须与第三方交涉并承担由此引发的一切法律责任和费用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（二）供应商须提供中国版权局出具的相关著作权证明。</w:t>
      </w:r>
    </w:p>
    <w:p>
      <w:pPr>
        <w:kinsoku/>
        <w:overflowPunct w:val="0"/>
        <w:autoSpaceDE/>
        <w:autoSpaceDN/>
        <w:spacing w:line="520" w:lineRule="exact"/>
        <w:jc w:val="both"/>
        <w:rPr>
          <w:rFonts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六、售后服务要求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（一）供应商应保障采购方所购数据库产品在使用期内的完整性。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（二）供应商须定时向采购方通报数据库产品开发进展情况、宣传计划和资料。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（三）供应商应根据采购方要求，每半年免费提供1次以上的数据库使用和技术培训。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（四）供应商应根据采购方要求，及时准确地提供所购数字资源利用情况统计表。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（五）在质保期内，如果产品技术升级，供应商及时通知用户，如用户有相应要求，供应商则对产品进行升级服务。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（六）供应商对所提供的镜像数据，提供不少于3年的质保期限（免费维修时间，下同）；对提供的在线服务，提供不少于合同条款规定的1年的质保期限。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（七）供应商应对采购方提供技术支持和数据维护，对数据库采取必要的保护措施，并及时修改其可能存在的安全漏洞，保证用户正常使用。供应商负责数据库数据的安装、调试。当数据发生丢失或损坏时, 供应商应及时免费完成数据的恢复工作。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八）供应商负责向采购方提供网络、电话及EMAIL支持服务，以解决数据库使用过程中出现的问题。对一般的技术支持响应时间不超过6小时，若出现重大问题，供应商技术支持工程师必须在48小时内到达现场进行技术维护。</w:t>
      </w:r>
    </w:p>
    <w:p>
      <w:pPr>
        <w:kinsoku/>
        <w:overflowPunct w:val="0"/>
        <w:autoSpaceDE/>
        <w:autoSpaceDN/>
        <w:spacing w:line="520" w:lineRule="exact"/>
        <w:jc w:val="both"/>
        <w:rPr>
          <w:rFonts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七、其他要求</w:t>
      </w:r>
    </w:p>
    <w:p>
      <w:pPr>
        <w:kinsoku/>
        <w:overflowPunct w:val="0"/>
        <w:autoSpaceDE/>
        <w:autoSpaceDN/>
        <w:spacing w:line="520" w:lineRule="exact"/>
        <w:ind w:firstLine="420" w:firstLineChars="200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供应商提供的所有数字资源应符合国家政策法规规定，不得具有意识形态安全问题；或一旦发现存在意识形态安全风险，供应商应在第一时间予以处理并告知采购方。</w:t>
      </w: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widowControl/>
        <w:overflowPunct w:val="0"/>
        <w:adjustRightInd w:val="0"/>
        <w:snapToGrid w:val="0"/>
        <w:jc w:val="center"/>
        <w:textAlignment w:val="baseline"/>
        <w:rPr>
          <w:rFonts w:cs="Arial" w:asciiTheme="majorEastAsia" w:hAnsiTheme="majorEastAsia" w:eastAsiaTheme="majorEastAsia"/>
          <w:b/>
          <w:snapToGrid w:val="0"/>
          <w:color w:val="000000"/>
          <w:kern w:val="0"/>
          <w:sz w:val="36"/>
          <w:szCs w:val="44"/>
        </w:rPr>
      </w:pPr>
      <w:r>
        <w:rPr>
          <w:rFonts w:hint="eastAsia" w:cs="Arial" w:asciiTheme="majorEastAsia" w:hAnsiTheme="majorEastAsia" w:eastAsiaTheme="majorEastAsia"/>
          <w:b/>
          <w:snapToGrid w:val="0"/>
          <w:color w:val="000000"/>
          <w:kern w:val="0"/>
          <w:sz w:val="36"/>
          <w:szCs w:val="44"/>
          <w:lang w:val="en-US" w:eastAsia="zh-CN"/>
        </w:rPr>
        <w:t>包3--中数图外文电子图书全文数据库</w:t>
      </w:r>
      <w:r>
        <w:rPr>
          <w:rFonts w:hint="eastAsia" w:cs="Arial" w:asciiTheme="majorEastAsia" w:hAnsiTheme="majorEastAsia" w:eastAsiaTheme="majorEastAsia"/>
          <w:b/>
          <w:snapToGrid w:val="0"/>
          <w:color w:val="000000"/>
          <w:kern w:val="0"/>
          <w:sz w:val="36"/>
          <w:szCs w:val="44"/>
        </w:rPr>
        <w:t>技术参数</w:t>
      </w:r>
    </w:p>
    <w:p>
      <w:pPr>
        <w:widowControl/>
        <w:shd w:val="clear" w:color="auto"/>
        <w:spacing w:line="360" w:lineRule="auto"/>
        <w:ind w:firstLine="640" w:firstLineChars="200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>
      <w:pPr>
        <w:widowControl/>
        <w:shd w:val="clear"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ascii="宋体" w:hAnsi="宋体" w:cs="宋体"/>
          <w:b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Cs w:val="21"/>
        </w:rPr>
        <w:t>一、采购资源范围</w:t>
      </w:r>
    </w:p>
    <w:p>
      <w:pPr>
        <w:widowControl/>
        <w:shd w:val="clear"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本次采购的电子图书为外文电子书，要求内容涵盖全面，与采购人专业设置相关，有助于读者素质培养，不得与采购人现有的馆藏资源（包括纸质图书、电子图书）重复，分类上须严格执行</w:t>
      </w:r>
      <w:bookmarkStart w:id="0" w:name="_Hlk92820553"/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美国国会图书馆分类法</w:t>
      </w:r>
      <w:bookmarkEnd w:id="0"/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供应商应根据采购人所列的图书分类表范围（美国国会图书馆分类法）向采购人提供不低于100万册的电子图书书目清单（清单应包含书名、作者、出版社、原书出版时间、分类号、内容简介等内容），由采购人进行勾选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ascii="宋体" w:hAnsi="宋体" w:cs="宋体"/>
          <w:b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Cs w:val="21"/>
        </w:rPr>
        <w:t>二、功能要求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（一）文件格式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采用PDF文本格式，保持图书原版原貌。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（二）功能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使用功能：数据库界面操作简单，使用方便，须提供在线阅读、下载、复制、粘贴、打印、OCR识别、图像剪切、读书笔记等功能。下载后的电子图书支持拷贝，拷贝后的电子图书可以在任意一个终端打开。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管理功能：图书管理系统须提供访问量统计功能，便于管理者了解读者使用情况，能统计图书的使用量、用户访问情况等。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ascii="宋体" w:hAnsi="宋体" w:cs="宋体"/>
          <w:b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Cs w:val="21"/>
        </w:rPr>
        <w:t>三、服务方式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（一）安装方式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采购人所采购外文电子图书均为本地镜像数据，数据安装到采购人提供的服务器上，供采购人永久使用。采购人如遇特殊情况，本地镜像数据不能正常使用访问，供应商要为</w:t>
      </w:r>
      <w:r>
        <w:rPr>
          <w:rFonts w:hint="eastAsia" w:ascii="宋体" w:hAnsi="宋体" w:eastAsia="宋体" w:cs="宋体"/>
          <w:snapToGrid w:val="0"/>
          <w:color w:val="000000"/>
          <w:kern w:val="0"/>
          <w:szCs w:val="21"/>
          <w:lang w:eastAsia="zh-CN"/>
        </w:rPr>
        <w:t>采购人</w:t>
      </w: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提供数据的远程包库访问服务，以满足</w:t>
      </w:r>
      <w:r>
        <w:rPr>
          <w:rFonts w:hint="eastAsia" w:ascii="宋体" w:hAnsi="宋体" w:eastAsia="宋体" w:cs="宋体"/>
          <w:snapToGrid w:val="0"/>
          <w:color w:val="000000"/>
          <w:kern w:val="0"/>
          <w:szCs w:val="21"/>
          <w:lang w:eastAsia="zh-CN"/>
        </w:rPr>
        <w:t>采购人</w:t>
      </w: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的使用访问需求。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（二）并发数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在校园网内采用开放的管理模式，无并发用户数量限制、无副本限制、无下载数量限制。远程包库访问无并发数限制。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ascii="宋体" w:hAnsi="宋体" w:cs="宋体"/>
          <w:b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Cs w:val="21"/>
        </w:rPr>
        <w:t>四、专利权要求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 xml:space="preserve">（一）供应商所提供的电子图书全部正版图书，具备数字版权（具有出版社及相关作者双重授权），并采用国际上先进的数字版权保护技术，杜绝版权隐患。 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 xml:space="preserve">（二）供应商必须保障采购方使用其产品、服务及其任何部分不受到第三方关于侵犯专利权、商标权或工业设计权等知识产权的指控。任何第三方如果提出指控，供应商必须与第三方交涉并承担由此引发的一切法律责任和费用。 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 xml:space="preserve">（三）供应商须提供中国版权局出具的相关著作权证明。 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ascii="宋体" w:hAnsi="宋体" w:cs="宋体"/>
          <w:b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Cs w:val="21"/>
        </w:rPr>
        <w:t>五、售后服务要求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（一）供应商应保障采购方所购数据库产品在使用期内的完整性。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（二）供应商须定时向采购方通报数据库产品开发进展情况、宣传计划和资料。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（三）供应商应根据采购方要求，每半年免费提供1次以上的数据库使用和技术培训。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（四）供应商应根据采购方要求，及时准确地提供所购数字资源利用情况统计表。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（五）在质保期内，如果产品技术升级，供应商及时通知用户，如用户有相应要求，供应商则对产品进行升级服务。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（六）供应商对所提供的镜像数据，提供不少于3年的质保期限（免费维修时间，下同）；对提供的在线服务，提供不少于合同条款规定的1年的质保期限。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七）供应商应对采购方提供技术支持和数据维护，对数据库采取必要的保护措施，并及时修改其可能存在的安全漏洞，保证用户正常使用。供应商负责数据库数据的安装、调试。当数据发生丢失或损坏时,供应商应及时免费完成数据的恢复工作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（八）供应商负责向采购方提供网络、电话及EMAIL支持服务，以解决数据库使用过程中出现的问题。对一般的技术支持响应时间不超过3小时，若出现重大问题，供应商技术支持工程师必须在36小时内到达现场进行技术维护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ascii="宋体" w:hAnsi="宋体" w:cs="宋体"/>
          <w:b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Cs w:val="21"/>
        </w:rPr>
        <w:t>六、其他要求</w:t>
      </w:r>
    </w:p>
    <w:p>
      <w:pPr>
        <w:widowControl/>
        <w:overflowPunct w:val="0"/>
        <w:autoSpaceDE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宋体" w:hAnsi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kern w:val="0"/>
          <w:szCs w:val="21"/>
        </w:rPr>
        <w:t>供应商提供的所有数字资源应符合国家政策法规规定，不得具有意识形态安全问题；或一旦发现存在意识形态安全风险，供应商应在第一时间予以处理并告知采购方。</w:t>
      </w: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widowControl/>
        <w:overflowPunct w:val="0"/>
        <w:adjustRightInd w:val="0"/>
        <w:snapToGrid w:val="0"/>
        <w:jc w:val="center"/>
        <w:textAlignment w:val="baseline"/>
        <w:rPr>
          <w:rFonts w:ascii="等线 Light" w:hAnsi="等线 Light" w:eastAsia="等线 Light" w:cs="Arial"/>
          <w:b/>
          <w:snapToGrid w:val="0"/>
          <w:color w:val="000000"/>
          <w:kern w:val="0"/>
          <w:sz w:val="36"/>
          <w:szCs w:val="44"/>
        </w:rPr>
      </w:pPr>
      <w:r>
        <w:rPr>
          <w:rFonts w:hint="eastAsia" w:ascii="等线 Light" w:hAnsi="等线 Light" w:eastAsia="等线 Light" w:cs="Arial"/>
          <w:b/>
          <w:snapToGrid w:val="0"/>
          <w:color w:val="000000"/>
          <w:kern w:val="0"/>
          <w:sz w:val="36"/>
          <w:szCs w:val="44"/>
          <w:lang w:val="en-US" w:eastAsia="zh-CN"/>
        </w:rPr>
        <w:t>包4--超星中文电子书</w:t>
      </w:r>
      <w:r>
        <w:rPr>
          <w:rFonts w:hint="eastAsia" w:ascii="等线 Light" w:hAnsi="等线 Light" w:eastAsia="等线 Light" w:cs="Arial"/>
          <w:b/>
          <w:snapToGrid w:val="0"/>
          <w:color w:val="000000"/>
          <w:kern w:val="0"/>
          <w:sz w:val="36"/>
          <w:szCs w:val="44"/>
        </w:rPr>
        <w:t>技术参数</w:t>
      </w:r>
    </w:p>
    <w:p>
      <w:pPr>
        <w:shd w:val="clear"/>
        <w:tabs>
          <w:tab w:val="left" w:pos="900"/>
        </w:tabs>
        <w:spacing w:line="360" w:lineRule="auto"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widowControl/>
        <w:shd w:val="clear"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ascii="宋体" w:hAnsi="宋体" w:cs="宋体"/>
          <w:b/>
          <w:snapToGrid w:val="0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  <w:t>一、采购资源范围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本次采购的电子图书为中文电子书，要求内容涵盖全面，严格按照中国图书分类法分类。中标后须提供140万册以上（含140万）电子图书详细书目清单，清单包含书名、作者、出版社、原书出版时间、中图分类号、内容简介。</w:t>
      </w:r>
      <w:r>
        <w:rPr>
          <w:rFonts w:hint="eastAsia" w:ascii="宋体" w:hAnsi="宋体" w:cs="宋体"/>
          <w:bCs/>
          <w:kern w:val="0"/>
          <w:sz w:val="21"/>
          <w:szCs w:val="21"/>
        </w:rPr>
        <w:t>不得与采购人现有的中文电子图书馆藏资源重复。</w:t>
      </w:r>
    </w:p>
    <w:p>
      <w:pPr>
        <w:widowControl/>
        <w:shd w:val="clear"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  <w:t>二、功能要求</w:t>
      </w:r>
    </w:p>
    <w:p>
      <w:pPr>
        <w:widowControl/>
        <w:shd w:val="clear" w:color="auto"/>
        <w:spacing w:line="360" w:lineRule="auto"/>
        <w:ind w:firstLine="420" w:firstLineChars="200"/>
        <w:rPr>
          <w:rFonts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（一）文件格式</w:t>
      </w:r>
    </w:p>
    <w:p>
      <w:pPr>
        <w:widowControl/>
        <w:shd w:val="clear" w:color="auto"/>
        <w:spacing w:line="360" w:lineRule="auto"/>
        <w:ind w:firstLine="420" w:firstLineChars="200"/>
        <w:rPr>
          <w:rFonts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电子图书数据文件格式：国家863数字图书馆示范工程的标准格式，PDG格式。</w:t>
      </w:r>
    </w:p>
    <w:p>
      <w:pPr>
        <w:widowControl/>
        <w:shd w:val="clear" w:color="auto"/>
        <w:spacing w:line="360" w:lineRule="auto"/>
        <w:ind w:firstLine="420" w:firstLineChars="200"/>
        <w:rPr>
          <w:rFonts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（二）功能</w:t>
      </w:r>
    </w:p>
    <w:p>
      <w:pPr>
        <w:widowControl/>
        <w:shd w:val="clear" w:color="auto"/>
        <w:spacing w:line="360" w:lineRule="auto"/>
        <w:ind w:firstLine="420" w:firstLineChars="200"/>
        <w:rPr>
          <w:rFonts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使用功能：数据库使用简单方便，能提供下载、打印、OCR识别、图像剪切、读书笔记等功能。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管理功能：图书管理系统功能全面，应具备有阅读、访问统计功能，便于管理者了解读者使用情况；能统计图书的使用量、用户访问情况等；配套数字图书馆门户系统，可以进行图书相关要求进行检索、下载；提供数据统计功能；拥有独立的数字化加工中心，以方便为学校加工制作专题数据库、特色数据库、教师文库等。</w:t>
      </w:r>
    </w:p>
    <w:p>
      <w:pPr>
        <w:widowControl/>
        <w:shd w:val="clear"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ascii="宋体" w:hAnsi="宋体" w:cs="宋体"/>
          <w:b/>
          <w:snapToGrid w:val="0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  <w:t>三、服务方式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（一）安装方式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采购人所采购中文电子图书均为本地镜像数据，数据安装到采购人提供的服务器上，供采购人永久使用。采购人如遇特殊情况，本地镜像数据不能正常使用访问，供应商要为</w:t>
      </w:r>
      <w:r>
        <w:rPr>
          <w:rFonts w:hint="eastAsia" w:ascii="宋体" w:hAnsi="宋体" w:eastAsia="宋体" w:cs="宋体"/>
          <w:bCs/>
          <w:color w:val="000000"/>
          <w:kern w:val="0"/>
          <w:sz w:val="21"/>
          <w:szCs w:val="21"/>
          <w:lang w:eastAsia="zh-CN"/>
        </w:rPr>
        <w:t>采购人</w:t>
      </w: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提供数据的远程包库访问服务，以满足</w:t>
      </w:r>
      <w:r>
        <w:rPr>
          <w:rFonts w:hint="eastAsia" w:ascii="宋体" w:hAnsi="宋体" w:eastAsia="宋体" w:cs="宋体"/>
          <w:bCs/>
          <w:color w:val="000000"/>
          <w:kern w:val="0"/>
          <w:sz w:val="21"/>
          <w:szCs w:val="21"/>
          <w:lang w:eastAsia="zh-CN"/>
        </w:rPr>
        <w:t>采购人</w:t>
      </w: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的使用访问需求。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（二）并发数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使用镜像和包库版电子书平台均无用户并发数限制。</w:t>
      </w:r>
      <w:bookmarkStart w:id="2" w:name="_GoBack"/>
    </w:p>
    <w:bookmarkEnd w:id="2"/>
    <w:p>
      <w:pPr>
        <w:widowControl/>
        <w:shd w:val="clear"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  <w:t>四、专利权要求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（一）供应商所提供的电子图书全部正版图书，具备数字版权（具有出版社及相关作者双重授权），并采用国际上先进的数字版权保护技术，杜绝版权隐患。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二）要求供应商必须保障采购方使用其产品、服务及其任何部分不受到第三方关于侵犯专利权、商标权或工业设计权等知识产权的指控。任何第三方如果提出指控，供应商必须与第三方交涉并承担由此引发的一切法律责任和费用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（三）供应商须提供中国版权局出具的出版物经营许可证明。</w:t>
      </w:r>
    </w:p>
    <w:p>
      <w:pPr>
        <w:widowControl/>
        <w:shd w:val="clear"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  <w:t>五、售后服务要求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（一）供应商应保障采购方所购数据库产品在使用期内的完整性。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（二）供应商须定时向采购方通报数据库产品开发进展情况、宣传计划和资料。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（三）供应商应根据采购方要求，每半年免费提供1次以上的数据库使用和技术培训。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（四）供应商应根据采购方要求，及时准确地提供所购数字资源利用情况统计表。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（五）在质保期内，如果产品技术升级，供应商及时通知用户，如用户有相应要求，供应商则对产品进行升级服务。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（六）供应商对所提供的镜像数据，提供不少于3年的质保期限（免费维修时间，下同）；对提供的在线服务，提供不少于合同条款规定的1年的质保期限。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（七）供应商应对采购方提供技术支持和数据维护，对数据库采取必要的保护措施，并及时修改其可能存在的安全漏洞，保证用户正常使用。供应商负责数据库数据的安装、调试。当数据发生丢失或损坏时, 供应商应及时免费完成数据的恢复工作。</w:t>
      </w:r>
    </w:p>
    <w:p>
      <w:pPr>
        <w:widowControl/>
        <w:shd w:val="clear" w:color="auto"/>
        <w:spacing w:line="360" w:lineRule="auto"/>
        <w:ind w:firstLine="420" w:firstLineChars="200"/>
        <w:rPr>
          <w:rFonts w:hint="eastAsia" w:ascii="宋体" w:hAnsi="宋体" w:cs="宋体"/>
          <w:bCs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（八）供应商负责向采购方提供网络、电话及EMAIL支持服务，以解决数据库使用过程中出现的问题。对一般的技术支持响应时间不超过6小时，若出现重大问题，供应商技术支持工程师必须在48小时内到达现场进行技术维护。</w:t>
      </w:r>
    </w:p>
    <w:p>
      <w:pPr>
        <w:widowControl/>
        <w:shd w:val="clear"/>
        <w:overflowPunct w:val="0"/>
        <w:autoSpaceDE w:val="0"/>
        <w:adjustRightInd w:val="0"/>
        <w:snapToGrid w:val="0"/>
        <w:spacing w:line="360" w:lineRule="auto"/>
        <w:textAlignment w:val="baseline"/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snapToGrid w:val="0"/>
          <w:color w:val="000000"/>
          <w:kern w:val="0"/>
          <w:sz w:val="21"/>
          <w:szCs w:val="21"/>
        </w:rPr>
        <w:t>六、其他要求</w:t>
      </w:r>
    </w:p>
    <w:p>
      <w:pPr>
        <w:widowControl/>
        <w:shd w:val="clear" w:color="auto"/>
        <w:spacing w:line="360" w:lineRule="auto"/>
        <w:ind w:firstLine="420" w:firstLineChars="200"/>
        <w:rPr>
          <w:rFonts w:ascii="宋体" w:hAnsi="宋体" w:cs="宋体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 w:val="21"/>
          <w:szCs w:val="21"/>
        </w:rPr>
        <w:t>供应商提供的所有数字资源应符合国家政策法规规定，不得具有意识形态安全问题；或一旦发现存在意识形态安全风险，供应商应在第一时间予以处理并告知采购方。</w:t>
      </w: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kinsoku/>
        <w:overflowPunct w:val="0"/>
        <w:autoSpaceDE/>
        <w:autoSpaceDN/>
        <w:ind w:firstLine="723" w:firstLineChars="200"/>
        <w:jc w:val="center"/>
        <w:rPr>
          <w:b/>
          <w:bCs/>
          <w:sz w:val="36"/>
          <w:szCs w:val="28"/>
        </w:rPr>
      </w:pPr>
      <w:r>
        <w:rPr>
          <w:rFonts w:hint="eastAsia" w:eastAsia="宋体"/>
          <w:b/>
          <w:bCs/>
          <w:sz w:val="36"/>
          <w:szCs w:val="28"/>
          <w:lang w:val="en-US" w:eastAsia="zh-CN"/>
        </w:rPr>
        <w:t>包5--worldlib国外文献整合平台</w:t>
      </w:r>
      <w:r>
        <w:rPr>
          <w:rFonts w:hint="eastAsia"/>
          <w:b/>
          <w:bCs/>
          <w:sz w:val="36"/>
          <w:szCs w:val="28"/>
        </w:rPr>
        <w:t>技术要求</w:t>
      </w:r>
    </w:p>
    <w:p>
      <w:pPr>
        <w:kinsoku/>
        <w:overflowPunct w:val="0"/>
        <w:autoSpaceDE/>
        <w:autoSpaceDN/>
        <w:ind w:firstLine="420" w:firstLineChars="200"/>
        <w:rPr>
          <w:b/>
          <w:bCs/>
          <w:szCs w:val="28"/>
        </w:rPr>
      </w:pPr>
    </w:p>
    <w:p>
      <w:pPr>
        <w:kinsoku/>
        <w:overflowPunct w:val="0"/>
        <w:autoSpaceDE/>
        <w:autoSpaceDN/>
        <w:spacing w:line="360" w:lineRule="auto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</w:rPr>
        <w:t>一、采购资源范围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数据库应囊括worldlib平台文献范围涵盖的全部学科，包含来自国外各大出版商的全学科开放数据文献。包含平台的8种不同类型的文献，其中期刊3500万篇（期刊品种不少于35000种）、国外博硕士论文430万篇、科技报告150万篇、艺术图片90万幅、外文电子图书及章节140万、专利100万篇、会议论文130万篇、预印本120万篇，共计4660多万篇/册国外优秀文献。可以按照检索点导航、学科导航、日期导航、语种导航等多种途径导航，8种文献可以实现一站式跨库检索。</w:t>
      </w:r>
    </w:p>
    <w:p>
      <w:pPr>
        <w:kinsoku/>
        <w:overflowPunct w:val="0"/>
        <w:autoSpaceDE/>
        <w:autoSpaceDN/>
        <w:spacing w:line="360" w:lineRule="auto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</w:rPr>
        <w:t>二、</w:t>
      </w:r>
      <w:r>
        <w:rPr>
          <w:rFonts w:hint="eastAsia" w:ascii="宋体" w:hAnsi="宋体" w:eastAsia="宋体" w:cs="宋体"/>
          <w:b/>
          <w:bCs/>
        </w:rPr>
        <w:t>数据量及更新要求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worldlib国外文献整合平台文献量不低于4660万篇/册，每年文献更新量不低于100万篇/册。</w:t>
      </w:r>
    </w:p>
    <w:p>
      <w:pPr>
        <w:kinsoku/>
        <w:overflowPunct w:val="0"/>
        <w:autoSpaceDE/>
        <w:autoSpaceDN/>
        <w:spacing w:line="360" w:lineRule="auto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三、</w:t>
      </w:r>
      <w:r>
        <w:rPr>
          <w:rFonts w:hint="eastAsia" w:ascii="宋体" w:hAnsi="宋体" w:eastAsia="宋体" w:cs="宋体"/>
          <w:b/>
          <w:bCs/>
        </w:rPr>
        <w:t>查询检索功能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（一）支持跨库检索且平均检索速度必须&lt;0.1S，具备不低于8000万的系统词表做支撑，且词表不得重复。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二）提供方便快捷的安装维护，内置Sqlserver、文本等可视化导入工具、自带Web服务器功能，包括用户认证管理、数据存储服务、搜索引擎服务、WEB发布服务、访问监控服务等功能，并且可以镜像派发生成专题数据库并且不需要安装任何数据库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（三）平台易用性。可以按照检索点导航、学科导航、日期导航、数据源导航、语种导航等多种途径导航。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（四）提供域名绑定功能，具备统计访问数据文件大小流量功能，具备用户检索记录还原功能,具备B类IP访问地址统计功能，对用户访问实时监控并追踪用户IP和访问资源url。</w:t>
      </w:r>
    </w:p>
    <w:p>
      <w:pPr>
        <w:kinsoku/>
        <w:overflowPunct w:val="0"/>
        <w:autoSpaceDE/>
        <w:autoSpaceDN/>
        <w:spacing w:line="360" w:lineRule="auto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四、服务方式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  <w:bCs/>
        </w:rPr>
      </w:pPr>
      <w:r>
        <w:rPr>
          <w:rFonts w:hint="eastAsia" w:ascii="宋体" w:hAnsi="宋体" w:eastAsia="宋体" w:cs="宋体"/>
        </w:rPr>
        <w:t>（一）</w:t>
      </w:r>
      <w:r>
        <w:rPr>
          <w:rFonts w:hint="eastAsia" w:ascii="宋体" w:hAnsi="宋体" w:eastAsia="宋体" w:cs="宋体"/>
          <w:bCs/>
        </w:rPr>
        <w:t>采用远程服务，平台上所有文献均可通过访问其所在第三方网站下载全文数据。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  <w:bCs/>
        </w:rPr>
      </w:pPr>
      <w:r>
        <w:rPr>
          <w:rFonts w:hint="eastAsia" w:ascii="宋体" w:hAnsi="宋体" w:eastAsia="宋体" w:cs="宋体"/>
        </w:rPr>
        <w:t>（二）</w:t>
      </w:r>
      <w:r>
        <w:rPr>
          <w:rFonts w:hint="eastAsia" w:ascii="宋体" w:hAnsi="宋体" w:eastAsia="宋体" w:cs="宋体"/>
          <w:bCs/>
        </w:rPr>
        <w:t>支持手机二维码下载阅读。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（三）文献传递服务。为读者提供文献传递服务。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  <w:bCs/>
        </w:rPr>
      </w:pPr>
      <w:bookmarkStart w:id="1" w:name="_Hlk104472824"/>
      <w:r>
        <w:rPr>
          <w:rFonts w:hint="eastAsia" w:ascii="宋体" w:hAnsi="宋体" w:eastAsia="宋体" w:cs="宋体"/>
        </w:rPr>
        <w:t>（四）</w:t>
      </w:r>
      <w:r>
        <w:rPr>
          <w:rFonts w:hint="eastAsia" w:ascii="宋体" w:hAnsi="宋体" w:eastAsia="宋体" w:cs="宋体"/>
          <w:bCs/>
        </w:rPr>
        <w:t>并发数：同时在线100人。</w:t>
      </w:r>
    </w:p>
    <w:bookmarkEnd w:id="1"/>
    <w:p>
      <w:pPr>
        <w:kinsoku/>
        <w:overflowPunct w:val="0"/>
        <w:autoSpaceDE/>
        <w:autoSpaceDN/>
        <w:spacing w:line="360" w:lineRule="auto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五、专利要求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一）供应商必须保障采购方使用其产品、服务及其任何部分不受到第三方关于侵犯专利权、商标权或工业设计权等知识产权的指控。任何第三方如果提出指控，供应商必须与第三方交涉并承担由此引发的一切法律责任和费用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（二）供应商须提供中国版权局出具的相关著作权证明。</w:t>
      </w:r>
    </w:p>
    <w:p>
      <w:pPr>
        <w:kinsoku/>
        <w:overflowPunct w:val="0"/>
        <w:autoSpaceDE/>
        <w:autoSpaceDN/>
        <w:spacing w:line="360" w:lineRule="auto"/>
        <w:rPr>
          <w:rFonts w:ascii="宋体" w:hAnsi="宋体" w:eastAsia="宋体" w:cs="宋体"/>
          <w:b/>
          <w:bCs/>
          <w:lang w:val="zh-TW"/>
        </w:rPr>
      </w:pPr>
      <w:r>
        <w:rPr>
          <w:rFonts w:hint="eastAsia" w:ascii="宋体" w:hAnsi="宋体" w:eastAsia="宋体" w:cs="宋体"/>
          <w:b/>
        </w:rPr>
        <w:t>六、</w:t>
      </w:r>
      <w:r>
        <w:rPr>
          <w:rFonts w:hint="eastAsia" w:ascii="宋体" w:hAnsi="宋体" w:eastAsia="宋体" w:cs="宋体"/>
          <w:b/>
          <w:bCs/>
          <w:lang w:val="zh-TW" w:eastAsia="zh-TW"/>
        </w:rPr>
        <w:t>售后服务</w:t>
      </w:r>
      <w:r>
        <w:rPr>
          <w:rFonts w:hint="eastAsia" w:ascii="宋体" w:hAnsi="宋体" w:eastAsia="宋体" w:cs="宋体"/>
          <w:b/>
          <w:bCs/>
        </w:rPr>
        <w:t>要求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（一）供应商应保障采购方所购数据库产品在使用期内的完整性。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（二）供应商须定时向采购方通报数据库产品开发进展情况、宣传计划和资料。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（三）供应商应根据采购方要求每半年至少免费提供1次数据库使用和技术培训。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（四）供应商应根据采购方要求，及时准确地提供所购数字资源利用情况统计表。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（五）在质保期内，如果产品技术升级，供应商及时通知用户，如用户有相应要求，供应商则对产品进行升级服务。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（六）对提供的在线服务，提供不少于合同条款规定的1年的质保期限。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七）供应商应对采购方提供技术支持和数据维护，对数据库采取必要的保护措施，并及时修改其可能存在的安全漏洞，保证用户正常使用。供应商负责数据库数据的安装、调试。当数据发生丢失或损坏时,供应商应及时免费完成数据的恢复工作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八）供应商负责向采购方提供网络、电话及EMAIL支持服务，以解决数据库使用过程中出现的问题。对一般的技术支持响应时间不超过6小时，若出现重大问题，供应商技术支持工程师必须在48小时内到达现场进行技术维护。</w:t>
      </w:r>
    </w:p>
    <w:p>
      <w:pPr>
        <w:kinsoku/>
        <w:overflowPunct w:val="0"/>
        <w:autoSpaceDE/>
        <w:autoSpaceDN/>
        <w:spacing w:line="360" w:lineRule="auto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</w:rPr>
        <w:t>七、</w:t>
      </w:r>
      <w:r>
        <w:rPr>
          <w:rFonts w:hint="eastAsia" w:ascii="宋体" w:hAnsi="宋体" w:eastAsia="宋体" w:cs="宋体"/>
          <w:b/>
          <w:bCs/>
        </w:rPr>
        <w:t>其他要求</w:t>
      </w:r>
    </w:p>
    <w:p>
      <w:pPr>
        <w:kinsoku/>
        <w:overflowPunct w:val="0"/>
        <w:autoSpaceDE/>
        <w:autoSpaceDN/>
        <w:spacing w:line="360" w:lineRule="auto"/>
        <w:ind w:firstLine="420" w:firstLineChars="200"/>
        <w:rPr>
          <w:rFonts w:asciiTheme="majorEastAsia" w:hAnsiTheme="majorEastAsia" w:eastAsiaTheme="majorEastAsia"/>
          <w:b/>
          <w:sz w:val="36"/>
          <w:szCs w:val="44"/>
        </w:rPr>
      </w:pPr>
      <w:r>
        <w:rPr>
          <w:rFonts w:hint="eastAsia" w:ascii="宋体" w:hAnsi="宋体" w:eastAsia="宋体" w:cs="宋体"/>
          <w:bCs/>
        </w:rPr>
        <w:t>供应商提供的所有数字资源应符合国家政策法规规定，不得具有意识形态安全问题；或一旦发现存在意识形态安全风险，供应商应在第一时间予以处理并告知采购方。</w:t>
      </w:r>
    </w:p>
    <w:p>
      <w:pPr>
        <w:pStyle w:val="2"/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细黑一简体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731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2</w:t>
    </w:r>
    <w:r>
      <w:rPr>
        <w:rFonts w:ascii="Calibri" w:hAnsi="Calibri" w:eastAsia="Calibri" w:cs="Calibri"/>
        <w:sz w:val="17"/>
        <w:szCs w:val="17"/>
      </w:rPr>
      <w:t>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0YTBlYzQwZTliZTQyZjI5MDg4NTg4YTUwNDdkYzMifQ=="/>
  </w:docVars>
  <w:rsids>
    <w:rsidRoot w:val="00000000"/>
    <w:rsid w:val="005714C6"/>
    <w:rsid w:val="01396FC5"/>
    <w:rsid w:val="02101454"/>
    <w:rsid w:val="07CD4764"/>
    <w:rsid w:val="07D57174"/>
    <w:rsid w:val="0A9B6453"/>
    <w:rsid w:val="0DF540CC"/>
    <w:rsid w:val="101474F2"/>
    <w:rsid w:val="113E4007"/>
    <w:rsid w:val="13DF276F"/>
    <w:rsid w:val="18AD7C0E"/>
    <w:rsid w:val="190A488B"/>
    <w:rsid w:val="1A531537"/>
    <w:rsid w:val="1F384CA6"/>
    <w:rsid w:val="200831DC"/>
    <w:rsid w:val="234C7FEA"/>
    <w:rsid w:val="27610B51"/>
    <w:rsid w:val="29153A7D"/>
    <w:rsid w:val="2E385BE3"/>
    <w:rsid w:val="2F974B8C"/>
    <w:rsid w:val="30800DD3"/>
    <w:rsid w:val="352E7146"/>
    <w:rsid w:val="36767366"/>
    <w:rsid w:val="36AB33AA"/>
    <w:rsid w:val="3E1546DD"/>
    <w:rsid w:val="41380279"/>
    <w:rsid w:val="41911D83"/>
    <w:rsid w:val="4BD66284"/>
    <w:rsid w:val="4CBD7ED0"/>
    <w:rsid w:val="4CC27294"/>
    <w:rsid w:val="4DD34704"/>
    <w:rsid w:val="4DEB6377"/>
    <w:rsid w:val="4F6939F7"/>
    <w:rsid w:val="56955EC3"/>
    <w:rsid w:val="5D027239"/>
    <w:rsid w:val="5F5521EA"/>
    <w:rsid w:val="5F7A755A"/>
    <w:rsid w:val="609F2965"/>
    <w:rsid w:val="6CC30EEC"/>
    <w:rsid w:val="6D142D9C"/>
    <w:rsid w:val="76967998"/>
    <w:rsid w:val="77112A42"/>
    <w:rsid w:val="77745210"/>
    <w:rsid w:val="77E6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 二"/>
    <w:qFormat/>
    <w:uiPriority w:val="0"/>
    <w:pPr>
      <w:widowControl w:val="0"/>
      <w:autoSpaceDE w:val="0"/>
      <w:autoSpaceDN w:val="0"/>
      <w:adjustRightInd w:val="0"/>
      <w:spacing w:line="312" w:lineRule="atLeast"/>
      <w:ind w:firstLine="408"/>
      <w:jc w:val="both"/>
    </w:pPr>
    <w:rPr>
      <w:rFonts w:ascii="方正细黑一简体" w:hAnsi="Times New Roman" w:eastAsia="方正细黑一简体" w:cs="方正细黑一简体"/>
      <w:color w:val="000000"/>
      <w:sz w:val="19"/>
      <w:szCs w:val="19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224</Words>
  <Characters>252</Characters>
  <Lines>0</Lines>
  <Paragraphs>0</Paragraphs>
  <TotalTime>0</TotalTime>
  <ScaleCrop>false</ScaleCrop>
  <LinksUpToDate>false</LinksUpToDate>
  <CharactersWithSpaces>252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2023-07-27T03:50:00Z</dcterms:created>
  <dc:creator>He</dc:creator>
  <cp:lastModifiedBy>USER</cp:lastModifiedBy>
  <dcterms:modified xsi:type="dcterms:W3CDTF">2024-06-19T05:49:14Z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782CEA411BD6480C863EE6AFAD4221C8_13</vt:lpwstr>
  </property>
</Properties>
</file>